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ackground w:color="F7F1E3"/>
  <w:body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14001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20"/>
        <w:jc w:val="center"/>
      </w:pPr>
      <w:r>
        <w:rPr>
          <w:rFonts w:ascii="Arial" w:cs="Arial" w:eastAsia="Arial" w:hAnsi="Arial"/>
          <w:b/>
          <w:bCs/>
          <w:color w:val="2B2B2B"/>
          <w:sz w:val="21"/>
          <w:szCs w:val="21"/>
        </w:rPr>
        <w:t xml:space="preserve">Domingo, 8 de novembro de 2026</w:t>
      </w:r>
      <w:r>
        <w:rPr>
          <w:rFonts w:ascii="Arial" w:cs="Arial" w:eastAsia="Arial" w:hAnsi="Arial"/>
          <w:color w:val="6B6459"/>
          <w:sz w:val="21"/>
          <w:szCs w:val="21"/>
        </w:rPr>
        <w:t xml:space="preserve">   ·   Edição nº 1   ·   Exame da semana</w:t>
      </w:r>
    </w:p>
    <w:p>
      <w:pPr>
        <w:pBdr>
          <w:top w:val="single" w:color="7A1F2B" w:sz="8" w:space="6"/>
          <w:left w:val="single" w:color="7A1F2B" w:sz="8" w:space="6"/>
          <w:bottom w:val="single" w:color="7A1F2B" w:sz="8" w:space="6"/>
          <w:right w:val="single" w:color="7A1F2B" w:sz="8" w:space="6"/>
        </w:pBdr>
        <w:shd w:fill="FFFFFF" w:color="auto" w:val="clear"/>
        <w:spacing w:after="220" w:before="0"/>
        <w:jc w:val="center"/>
      </w:pPr>
      <w:r>
        <w:rPr>
          <w:rFonts w:ascii="Arial" w:cs="Arial" w:eastAsia="Arial" w:hAnsi="Arial"/>
          <w:b/>
          <w:bCs/>
          <w:color w:val="7A1F2B"/>
          <w:sz w:val="20"/>
          <w:szCs w:val="20"/>
        </w:rPr>
        <w:t xml:space="preserve">Vem aí: </w:t>
      </w:r>
      <w:r>
        <w:rPr>
          <w:rFonts w:ascii="Arial" w:cs="Arial" w:eastAsia="Arial" w:hAnsi="Arial"/>
          <w:color w:val="2B2B2B"/>
          <w:sz w:val="20"/>
          <w:szCs w:val="20"/>
        </w:rPr>
        <w:t xml:space="preserve">o site </w:t>
      </w:r>
      <w:r>
        <w:rPr>
          <w:rFonts w:ascii="Arial" w:cs="Arial" w:eastAsia="Arial" w:hAnsi="Arial"/>
          <w:b/>
          <w:bCs/>
          <w:color w:val="2B2B2B"/>
          <w:sz w:val="20"/>
          <w:szCs w:val="20"/>
        </w:rPr>
        <w:t xml:space="preserve">velorioadiado.com.br</w:t>
      </w:r>
      <w:r>
        <w:rPr>
          <w:rFonts w:ascii="Arial" w:cs="Arial" w:eastAsia="Arial" w:hAnsi="Arial"/>
          <w:color w:val="2B2B2B"/>
          <w:sz w:val="20"/>
          <w:szCs w:val="20"/>
        </w:rPr>
        <w:t xml:space="preserve"> estreia em 15 de novembro de 2026, dia da Proclamação da República. A República já sobreviveu a todos os coveiros que lhe anunciaram o enterro; o informativo pretende fazer o mesmo.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ABERTURA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 Coveiro voltou para casa sem serviço</w:t>
      </w:r>
    </w:p>
    <w:p>
      <w:pPr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O pessimista brasileiro é um homem de fé. Acredita no fim do país com a devoção que os outros reservam aos santos, e todo dia acorda certo de que hoje é o dia.</w:t>
      </w:r>
    </w:p>
    <w:p>
      <w:pPr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Esta semana, o Coveiro passou cinco dias de terno preto na porta do cemitério. Para não ser acusado de má vontade, o informativo bateu na porta de 54 sites oficiais e internacionais. O paciente respondeu de quase todos: tem febre em dois ou três pontos, mas o pulso está firme.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O EXAME NUM RELANCE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 paciente na mesa</w:t>
      </w:r>
    </w:p>
    <w:p>
      <w:pPr>
        <w:keepNext/>
        <w:keepLines/>
        <w:spacing w:after="60" w:before="60"/>
        <w:jc w:val="center"/>
      </w:pPr>
      <w:r>
        <w:drawing>
          <wp:inline distT="0" distB="0" distL="0" distR="0">
            <wp:extent cx="6096000" cy="3810000"/>
            <wp:effectExtent t="0" r="0" b="0" l="0"/>
            <wp:docPr id="2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Os quatro órgãos vitais da economia e o último dado oficial de cada um.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SINAIS VITAIS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Pulso, pressão e temperatura</w:t>
      </w:r>
    </w:p>
    <w:tbl>
      <w:tblPr>
        <w:tblW w:type="dxa" w:w="990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76"/>
        <w:gridCol w:w="2476"/>
        <w:gridCol w:w="2476"/>
        <w:gridCol w:w="2476"/>
      </w:tblGrid>
      <w:tr>
        <w:trPr>
          <w:cantSplit/>
        </w:trPr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SELIC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13,75%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ao ano; taxa efetiva caiu de 14,90% (jan) para 13,65% (out)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BCB · meta vigente</w:t>
            </w:r>
          </w:p>
        </w:tc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INFLAÇÃO 12 MESES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4,58%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um ano antes: 5,17%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IPCA até set/2026 · IBGE</w:t>
            </w:r>
          </w:p>
        </w:tc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DESEMPREGO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5,3%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um ano antes: 5,6%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PNAD, jun–ago/2026 · IBGE</w:t>
            </w:r>
          </w:p>
        </w:tc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DÓLAR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R$ 5,50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PTAX de venda R$ 5,5013; +1,5% na semana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06/11/2026 · BCB</w:t>
            </w:r>
          </w:p>
        </w:tc>
      </w:tr>
      <w:tr>
        <w:trPr>
          <w:cantSplit/>
        </w:trPr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SALDO COMERCIAL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US$ 71,0 bi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exportações de US$ 321,9 bi, +11,2% sobre 2025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jan–out/2026 · MDIC</w:t>
            </w:r>
          </w:p>
        </w:tc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RESERVAS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US$ 367,9 bi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seguro do país contra crise cambial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05/11/2026 · BCB</w:t>
            </w:r>
          </w:p>
        </w:tc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DÍVIDA BRUTA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82,9%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do PIB; um ano antes: 77,8%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set/2026 · BCB</w:t>
            </w:r>
          </w:p>
        </w:tc>
        <w:tc>
          <w:tcPr>
            <w:tcW w:type="dxa" w:w="247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62"/>
                <w:sz w:val="16"/>
                <w:szCs w:val="16"/>
              </w:rPr>
              <w:t xml:space="preserve">RESULTADO PRIMÁRIO</w:t>
            </w:r>
          </w:p>
          <w:p>
            <w:pPr>
              <w:spacing w:after="40"/>
            </w:pPr>
            <w:r>
              <w:rPr>
                <w:rFonts w:ascii="Georgia" w:cs="Georgia" w:eastAsia="Georgia" w:hAnsi="Georgia"/>
                <w:b/>
                <w:bCs/>
                <w:color w:val="2B2B2B"/>
                <w:sz w:val="32"/>
                <w:szCs w:val="32"/>
              </w:rPr>
              <w:t xml:space="preserve">–0,52%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2B2B2B"/>
                <w:sz w:val="18"/>
                <w:szCs w:val="18"/>
              </w:rPr>
              <w:t xml:space="preserve">do PIB (déficit em 12 meses); um ano antes: 0,27%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6B6459"/>
                <w:sz w:val="15"/>
                <w:szCs w:val="15"/>
              </w:rPr>
              <w:t xml:space="preserve">até set/2026 · BCB</w:t>
            </w:r>
          </w:p>
        </w:tc>
      </w:tr>
    </w:tbl>
    <w:p>
      <w:pPr>
        <w:spacing w:after="6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/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O QUE O PAÍS CONFESSOU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 que saiu nos órgãos oficiais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2300"/>
        <w:gridCol w:w="6306"/>
      </w:tblGrid>
      <w:tr>
        <w:trPr>
          <w:tblHeader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Data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Órgão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O que foi divulgado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15/10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Conab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Primeira estimativa da safra 2026/27: 367,1 milhões de toneladas de grãos, 1,4% acima da safra anterior; soja 181,6 e milho 148,0 milhões de t.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26/10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Banco Central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Déficit externo (transações correntes) caiu para 2,33% do PIB em 12 meses, contra 3,57% um ano antes. Investimento direto de US$ 11,3 bi em setembro.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29/10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Tesouro (via Fazenda)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Governo central teve superávit de R$ 4,8 bilhões em setembro, contra déficit de R$ 14,4 bilhões um ano antes. Em 12 meses, déficit de 0,38% do PIB.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01/11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Agricultura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Seis meses de acordo Mercosul–União Europeia: exportações do agro ao bloco subiram 14,8%, para US$ 12,2 bilhões (maio a setembro).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03/11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Banco Central (Focus)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Mercado elevou a inflação esperada para 2026 de 5,01% para 5,22% em quatro semanas; PIB de 1,76%; dólar a R$ 5,34; Selic de 13,50% no fim do ano.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04/11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Trabalho (Novo Caged)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121.305 vagas formais em setembro e 1.248.914 no ano. Salário real de admissão de R$ 2.429, 1,9% acima de um ano antes.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06/11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MDIC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Exportações de outubro somaram US$ 37,8 bilhões, 20% acima de outubro de 2025; saldo de US$ 9,3 bilhões e corrente de comércio recorde para o mês.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07/11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Agricultura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Uruguai, último país com restrição total, voltou a comprar aves do Brasil; os embargos caíram em 19 dias.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Últimos dados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IBGE</w:t>
            </w:r>
          </w:p>
        </w:tc>
        <w:tc>
          <w:tcPr>
            <w:tcW w:type="dxa" w:w="6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Indústria −0,8% em setembro; IPCA-15 de 0,32% em outubro; varejo +0,1% e serviços −0,1% em agosto.</w:t>
            </w:r>
          </w:p>
        </w:tc>
      </w:tr>
    </w:tbl>
    <w:p>
      <w:pPr>
        <w:spacing w:after="6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/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O ÓBVIO QUE NINGUÉM LEU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1,25 milhão de carteiras assinadas</w:t>
      </w:r>
    </w:p>
    <w:p>
      <w:pPr>
        <w:keepNext/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De janeiro a setembro, o país criou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1.248.914 empregos formais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. Todos os estados tiveram saldo positivo. A construção cresceu 7%, e o salário real de quem foi contratado em setembro ficou 1,9% acima de um ano antes.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438400"/>
            <wp:effectExtent t="0" r="0" b="0" l="0"/>
            <wp:docPr id="3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Saldo de empregos formais por setor, janeiro a setembro de 2026 · Ministério do Trabalho (Novo Caged)</w:t>
      </w:r>
    </w:p>
    <w:p>
      <w:pPr>
        <w:pBdr>
          <w:left w:val="single" w:color="C49A3A" w:sz="18" w:space="10"/>
        </w:pBdr>
        <w:spacing w:after="160" w:before="60" w:line="300"/>
        <w:ind w:left="280"/>
      </w:pPr>
      <w:r>
        <w:rPr>
          <w:rFonts w:ascii="Georgia" w:cs="Georgia" w:eastAsia="Georgia" w:hAnsi="Georgia"/>
          <w:i/>
          <w:iCs/>
          <w:color w:val="2B2B2B"/>
          <w:sz w:val="26"/>
          <w:szCs w:val="26"/>
        </w:rPr>
        <w:t xml:space="preserve">A carteira assinada é como o bom marido: não dá manchete, mas aparece todo mês.</w:t>
      </w:r>
    </w:p>
    <w:p>
      <w:pPr>
        <w:spacing w:after="200" w:line="300"/>
      </w:pPr>
      <w:r>
        <w:rPr>
          <w:rFonts w:ascii="Arial" w:cs="Arial" w:eastAsia="Arial" w:hAnsi="Arial"/>
          <w:b/>
          <w:bCs/>
          <w:color w:val="6B6459"/>
          <w:sz w:val="18"/>
          <w:szCs w:val="18"/>
        </w:rPr>
        <w:t xml:space="preserve">Fonte: </w:t>
      </w:r>
      <w:hyperlink w:history="1" r:id="rIddgq8lxsi8zkxlqnoflz2p">
        <w:r>
          <w:rPr>
            <w:rFonts w:ascii="Arial" w:cs="Arial" w:eastAsia="Arial" w:hAnsi="Arial"/>
            <w:color w:val="2F5D62"/>
            <w:sz w:val="19"/>
            <w:szCs w:val="19"/>
            <w:u w:val="single"/>
          </w:rPr>
          <w:t xml:space="preserve">Ministério do Trabalho e Emprego, 4 nov. 2026</w:t>
        </w:r>
      </w:hyperlink>
      <w:r>
        <w:rPr>
          <w:rFonts w:ascii="Arial" w:cs="Arial" w:eastAsia="Arial" w:hAnsi="Arial"/>
          <w:color w:val="6B6459"/>
          <w:sz w:val="18"/>
          <w:szCs w:val="18"/>
        </w:rPr>
        <w:t xml:space="preserve"/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DANDO NOS DEDOS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“O estrangeiro desistiu do Brasil”</w:t>
      </w:r>
    </w:p>
    <w:p>
      <w:pPr>
        <w:keepNext/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Dizem que o investidor estrangeiro fez as malas. O Banco Central informa: de janeiro a setembro entraram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US$ 75,7 bilhões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 em investimento direto,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4,5% a mais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 que em 2025; em 12 meses, US$ 88,3 bilhões, ou 3,4% do PIB. Na semana seguinte ao segundo turno, o câmbio registrou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entrada recorde de US$ 9,5 bilhões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, e o próprio mercado, no Focus, subiu de US$ 80 bilhões para US$ 84,5 bilhões a aposta de investimento direto em 2026.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705100"/>
            <wp:effectExtent t="0" r="0" b="0" l="0"/>
            <wp:docPr id="4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Investimento direto no país, por mês · Banco Central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305050"/>
            <wp:effectExtent t="0" r="0" b="0" l="0"/>
            <wp:docPr id="5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Entrada líquida de dólares pelo câmbio · Banco Central, dados citados pela Bloomberg Línea (4/11/2026)</w:t>
      </w:r>
    </w:p>
    <w:p>
      <w:pPr>
        <w:pBdr>
          <w:left w:val="single" w:color="C49A3A" w:sz="18" w:space="10"/>
        </w:pBdr>
        <w:spacing w:after="160" w:before="60" w:line="300"/>
        <w:ind w:left="280"/>
      </w:pPr>
      <w:r>
        <w:rPr>
          <w:rFonts w:ascii="Georgia" w:cs="Georgia" w:eastAsia="Georgia" w:hAnsi="Georgia"/>
          <w:i/>
          <w:iCs/>
          <w:color w:val="2B2B2B"/>
          <w:sz w:val="26"/>
          <w:szCs w:val="26"/>
        </w:rPr>
        <w:t xml:space="preserve">O estrangeiro, esse ingrato, não leu as manchetes. Continuou trazendo dinheiro.</w:t>
      </w:r>
    </w:p>
    <w:p>
      <w:pPr>
        <w:spacing w:after="200" w:line="300"/>
      </w:pPr>
      <w:r>
        <w:rPr>
          <w:rFonts w:ascii="Arial" w:cs="Arial" w:eastAsia="Arial" w:hAnsi="Arial"/>
          <w:b/>
          <w:bCs/>
          <w:color w:val="6B6459"/>
          <w:sz w:val="18"/>
          <w:szCs w:val="18"/>
        </w:rPr>
        <w:t xml:space="preserve">Fonte: </w:t>
      </w:r>
      <w:hyperlink w:history="1" r:id="rIdfe_e4nixorel9ngrxr6hi">
        <w:r>
          <w:rPr>
            <w:rFonts w:ascii="Arial" w:cs="Arial" w:eastAsia="Arial" w:hAnsi="Arial"/>
            <w:color w:val="2F5D62"/>
            <w:sz w:val="19"/>
            <w:szCs w:val="19"/>
            <w:u w:val="single"/>
          </w:rPr>
          <w:t xml:space="preserve">Bloomberg Línea, 4 nov. 2026</w:t>
        </w:r>
      </w:hyperlink>
      <w:r>
        <w:rPr>
          <w:rFonts w:ascii="Arial" w:cs="Arial" w:eastAsia="Arial" w:hAnsi="Arial"/>
          <w:color w:val="6B6459"/>
          <w:sz w:val="18"/>
          <w:szCs w:val="18"/>
        </w:rPr>
        <w:t xml:space="preserve"> (fluxo cambial, não conferido na nota primária do Banco Central nesta edição).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O VELÓRIO QUASE SAIU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Ponto para o pessimista</w:t>
      </w:r>
    </w:p>
    <w:p>
      <w:pPr>
        <w:keepNext/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O informativo não torce, registra. Quatro números desta semana dão razão a quem anda de luto:</w:t>
      </w:r>
    </w:p>
    <w:p>
      <w:pPr>
        <w:pStyle w:val="ListParagraph"/>
        <w:keepNext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Inflação acima do teto.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O IPCA em 12 meses foi a 4,58% em setembro, acima do limite de 4,5%. E o mercado piorou a aposta: espera 5,22% para 2026 e 4,76% para 2027.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705100"/>
            <wp:effectExtent t="0" r="0" b="0" l="0"/>
            <wp:docPr id="6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IPCA acumulado em 12 meses e a faixa da meta (3%, com tolerância de 1,5 ponto) · IBGE, via Banco Central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Indústria recuou.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A produção industrial caiu 0,8% em setembro, segundo o IBGE.</w:t>
      </w:r>
    </w:p>
    <w:p>
      <w:pPr>
        <w:pStyle w:val="ListParagraph"/>
        <w:keepNext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Dívida subindo.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A dívida bruta do governo foi de 77,8% para 82,9% do PIB em um ano.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438400"/>
            <wp:effectExtent t="0" r="0" b="0" l="0"/>
            <wp:docPr id="7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Dívida bruta do governo geral, % do PIB · Banco Central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Déficit maior.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O setor público consolidado tem déficit primário de 0,52% do PIB em 12 meses, quase o dobro de um ano antes. O alívio: o governo central teve superávit de R$ 4,8 bilhões em setembro.</w:t>
      </w:r>
    </w:p>
    <w:p>
      <w:pPr>
        <w:pBdr>
          <w:left w:val="single" w:color="C49A3A" w:sz="18" w:space="10"/>
        </w:pBdr>
        <w:spacing w:after="160" w:before="60" w:line="300"/>
        <w:ind w:left="280"/>
      </w:pPr>
      <w:r>
        <w:rPr>
          <w:rFonts w:ascii="Georgia" w:cs="Georgia" w:eastAsia="Georgia" w:hAnsi="Georgia"/>
          <w:i/>
          <w:iCs/>
          <w:color w:val="2B2B2B"/>
          <w:sz w:val="26"/>
          <w:szCs w:val="26"/>
        </w:rPr>
        <w:t xml:space="preserve">Nesta semana, o pessimista acordou com razão em quatro pontos. O Coveiro, animado, chegou a engraxar o sapato.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O MUNDO BATE À PORTA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As portas que se abriram lá fora</w:t>
      </w:r>
    </w:p>
    <w:p>
      <w:pPr>
        <w:keepNext/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De janeiro a outubro, o Brasil exportou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US$ 321,9 bilhões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 (+11,2%) e importou US$ 250,8 bilhões (+6,1%). O saldo chegou a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US$ 71,0 bilhões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. Em outubro, as vendas da indústria extrativa subiram 53,5%.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438400"/>
            <wp:effectExtent t="0" r="0" b="0" l="0"/>
            <wp:docPr id="8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Exportações e importações de janeiro a outubro · MDIC (Secex)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4006"/>
        <w:gridCol w:w="3600"/>
      </w:tblGrid>
      <w:tr>
        <w:trPr>
          <w:tblHeader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Sinal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O que diz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Por que importa para o Brasil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Acordo Mercosul–UE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Agro vendeu US$ 12,2 bi ao bloco em cinco meses, +14,8%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Mercado de 27 países, com tarifas caindo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Acordo Mercosul–EFTA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Vale com a Noruega desde 1º/11; 99% do valor exportado ao bloco terá acesso livre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Bloco rico (PIB de US$ 1,4 tri) e porta para remédios, calçados e joias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China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PIB +4,6% em nove meses; importações +22,3% em yuan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Maior comprador do Brasil segue comprando mais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Alimentos (FAO)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Índice de preços em 133,9 pontos, +5,9% em 12 meses; açúcar +28,8%, cereais −12,6%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Bom para açúcar e carnes; menos para grãos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Comércio mundial (OMC)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Volume de mercadorias deve crescer 3,9% em 2026; exportações da América do Sul, 3,4%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Mundo comprando mais em ano de tensão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Commodities (Banco Mundial)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Preços devem subir 23% em 2026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Ajuda a receita de quem exporta matéria-prima</w:t>
            </w:r>
          </w:p>
        </w:tc>
      </w:tr>
      <w:tr>
        <w:trPr>
          <w:cantSplit/>
        </w:trPr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Juros dos EUA (Fed)</w:t>
            </w:r>
          </w:p>
        </w:tc>
        <w:tc>
          <w:tcPr>
            <w:tcW w:type="dxa" w:w="40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Mantidos entre 3,75% e 4,00% em 28/10</w:t>
            </w:r>
          </w:p>
        </w:tc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Juro americano parado alivia a pressão sobre o dólar</w:t>
            </w:r>
          </w:p>
        </w:tc>
      </w:tr>
    </w:tbl>
    <w:p>
      <w:pPr>
        <w:spacing w:after="6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/>
      </w:r>
    </w:p>
    <w:p>
      <w:pPr>
        <w:pBdr>
          <w:left w:val="single" w:color="C49A3A" w:sz="18" w:space="10"/>
        </w:pBdr>
        <w:spacing w:after="160" w:before="60" w:line="300"/>
        <w:ind w:left="280"/>
      </w:pPr>
      <w:r>
        <w:rPr>
          <w:rFonts w:ascii="Georgia" w:cs="Georgia" w:eastAsia="Georgia" w:hAnsi="Georgia"/>
          <w:i/>
          <w:iCs/>
          <w:color w:val="2B2B2B"/>
          <w:sz w:val="26"/>
          <w:szCs w:val="26"/>
        </w:rPr>
        <w:t xml:space="preserve">O mundo não tem a menor pena do Brasil. Por isso mesmo, quando compra, é porque o produto presta.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EXAME DA SEMANA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 dólar subiu, as reservas também</w:t>
      </w:r>
    </w:p>
    <w:p>
      <w:pPr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O dólar fechou a semana em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R$ 5,5013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 (PTAX de venda), alta de 1,5%. As reservas chegaram a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US$ 367,9 bilhões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. A Selic seguiu em 13,75%, e a queda da taxa efetiva parou em outubro. Pela FGV (fonte privada), a inflação do IPC-S desacelerou nas sete capitais pesquisadas no início de novembro.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3300"/>
        <w:gridCol w:w="3606"/>
      </w:tblGrid>
      <w:tr>
        <w:trPr>
          <w:tblHeader/>
        </w:trPr>
        <w:tc>
          <w:tcPr>
            <w:tcW w:type="dxa" w:w="3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Dia</w:t>
            </w:r>
          </w:p>
        </w:tc>
        <w:tc>
          <w:tcPr>
            <w:tcW w:type="dxa" w:w="3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Dólar PTAX (venda)</w:t>
            </w:r>
          </w:p>
        </w:tc>
        <w:tc>
          <w:tcPr>
            <w:tcW w:type="dxa" w:w="3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Reservas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Sex, 30/10</w:t>
            </w:r>
          </w:p>
        </w:tc>
        <w:tc>
          <w:tcPr>
            <w:tcW w:type="dxa" w:w="3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R$ 5,4212</w:t>
            </w:r>
          </w:p>
        </w:tc>
        <w:tc>
          <w:tcPr>
            <w:tcW w:type="dxa" w:w="3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—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Ter, 03/11</w:t>
            </w:r>
          </w:p>
        </w:tc>
        <w:tc>
          <w:tcPr>
            <w:tcW w:type="dxa" w:w="3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R$ 5,4935</w:t>
            </w:r>
          </w:p>
        </w:tc>
        <w:tc>
          <w:tcPr>
            <w:tcW w:type="dxa" w:w="3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US$ 365,2 bi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Qua, 04/11</w:t>
            </w:r>
          </w:p>
        </w:tc>
        <w:tc>
          <w:tcPr>
            <w:tcW w:type="dxa" w:w="3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R$ 5,4778</w:t>
            </w:r>
          </w:p>
        </w:tc>
        <w:tc>
          <w:tcPr>
            <w:tcW w:type="dxa" w:w="3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US$ 367,4 bi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Qui, 05/11</w:t>
            </w:r>
          </w:p>
        </w:tc>
        <w:tc>
          <w:tcPr>
            <w:tcW w:type="dxa" w:w="3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R$ 5,4621</w:t>
            </w:r>
          </w:p>
        </w:tc>
        <w:tc>
          <w:tcPr>
            <w:tcW w:type="dxa" w:w="3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US$ 367,9 bi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Sex, 06/11</w:t>
            </w:r>
          </w:p>
        </w:tc>
        <w:tc>
          <w:tcPr>
            <w:tcW w:type="dxa" w:w="3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R$ 5,5013</w:t>
            </w:r>
          </w:p>
        </w:tc>
        <w:tc>
          <w:tcPr>
            <w:tcW w:type="dxa" w:w="3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20"/>
                <w:szCs w:val="20"/>
              </w:rPr>
              <w:t xml:space="preserve">—</w:t>
            </w:r>
          </w:p>
        </w:tc>
      </w:tr>
    </w:tbl>
    <w:p>
      <w:pPr>
        <w:spacing w:after="6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/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BONS TEMPOS AQUELES?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Saudade de 1993?</w:t>
      </w:r>
    </w:p>
    <w:p>
      <w:pPr>
        <w:keepNext/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Em 1993, a inflação somou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2.477% no ano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. Um salário de janeiro comprava, em dezembro, menos de 4% do que comprava antes. Em julho de 1994 veio o Real: a inflação do mês caiu de 47,43% em junho para 6,84% em julho.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438400"/>
            <wp:effectExtent t="0" r="0" b="0" l="0"/>
            <wp:docPr id="9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IPCA de 1993 contra os 12 meses até setembro de 2026 · IBGE, via Banco Central</w:t>
      </w:r>
    </w:p>
    <w:p>
      <w:pPr>
        <w:pBdr>
          <w:left w:val="single" w:color="C49A3A" w:sz="18" w:space="10"/>
        </w:pBdr>
        <w:spacing w:after="160" w:before="60" w:line="300"/>
        <w:ind w:left="280"/>
      </w:pPr>
      <w:r>
        <w:rPr>
          <w:rFonts w:ascii="Georgia" w:cs="Georgia" w:eastAsia="Georgia" w:hAnsi="Georgia"/>
          <w:i/>
          <w:iCs/>
          <w:color w:val="2B2B2B"/>
          <w:sz w:val="26"/>
          <w:szCs w:val="26"/>
        </w:rPr>
        <w:t xml:space="preserve">O saudosista tem memória de poeta: guarda a música e esquece a remarcação de preços.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A SÉRIE NÃO MENTE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 desemprego em 14 anos</w:t>
      </w:r>
    </w:p>
    <w:p>
      <w:pPr>
        <w:keepNext/>
        <w:spacing w:after="14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>A taxa de desemprego foi de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14,9%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 no pior momento da pandemia para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5,3%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 no trimestre de junho a agosto de 2026, perto da mínima da série iniciada em 2012 (5,1%, no fim de 2025).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2847975"/>
            <wp:effectExtent t="0" r="0" b="0" l="0"/>
            <wp:docPr id="10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Taxa de desocupação, trimestre móvel · IBGE (PNAD Contínua), via Banco Central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ADIVINHE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Pergunta da semana</w:t>
      </w:r>
    </w:p>
    <w:p>
      <w:pPr>
        <w:spacing w:after="140" w:line="30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Em quantos estados o emprego formal cresceu de janeiro a setembro? </w:t>
      </w:r>
      <w:r>
        <w:rPr>
          <w:rFonts w:ascii="Arial" w:cs="Arial" w:eastAsia="Arial" w:hAnsi="Arial"/>
          <w:i/>
          <w:iCs/>
          <w:color w:val="6B6459"/>
          <w:sz w:val="25"/>
          <w:szCs w:val="25"/>
        </w:rPr>
        <w:t xml:space="preserve">Resposta no fim.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AMANHÃ TEM MAIS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Agenda oficial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2300"/>
        <w:gridCol w:w="5606"/>
      </w:tblGrid>
      <w:tr>
        <w:trPr>
          <w:tblHeader/>
        </w:trPr>
        <w:tc>
          <w:tcPr>
            <w:tcW w:type="dxa" w:w="2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Data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Órgão</w:t>
            </w:r>
          </w:p>
        </w:tc>
        <w:tc>
          <w:tcPr>
            <w:tcW w:type="dxa" w:w="5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Divulgação</w:t>
            </w:r>
          </w:p>
        </w:tc>
      </w:tr>
      <w:tr>
        <w:trPr>
          <w:cantSplit/>
        </w:trPr>
        <w:tc>
          <w:tcPr>
            <w:tcW w:type="dxa" w:w="2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Seg, 09/11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Banco Central</w:t>
            </w:r>
          </w:p>
        </w:tc>
        <w:tc>
          <w:tcPr>
            <w:tcW w:type="dxa" w:w="5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Boletim Focus</w:t>
            </w:r>
          </w:p>
        </w:tc>
      </w:tr>
      <w:tr>
        <w:trPr>
          <w:cantSplit/>
        </w:trPr>
        <w:tc>
          <w:tcPr>
            <w:tcW w:type="dxa" w:w="2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Qua, 11/11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IBGE</w:t>
            </w:r>
          </w:p>
        </w:tc>
        <w:tc>
          <w:tcPr>
            <w:tcW w:type="dxa" w:w="5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Serviços (PMS) e indústria por estado (PIM regional)</w:t>
            </w:r>
          </w:p>
        </w:tc>
      </w:tr>
      <w:tr>
        <w:trPr>
          <w:cantSplit/>
        </w:trPr>
        <w:tc>
          <w:tcPr>
            <w:tcW w:type="dxa" w:w="2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Qui, 12/11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IBGE</w:t>
            </w:r>
          </w:p>
        </w:tc>
        <w:tc>
          <w:tcPr>
            <w:tcW w:type="dxa" w:w="5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IPCA e INPC de outubro: a inflação volta para baixo do teto?</w:t>
            </w:r>
          </w:p>
        </w:tc>
      </w:tr>
      <w:tr>
        <w:trPr>
          <w:cantSplit/>
        </w:trPr>
        <w:tc>
          <w:tcPr>
            <w:tcW w:type="dxa" w:w="2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Sex, 13/11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IBGE</w:t>
            </w:r>
          </w:p>
        </w:tc>
        <w:tc>
          <w:tcPr>
            <w:tcW w:type="dxa" w:w="5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Varejo (PMC)</w:t>
            </w:r>
          </w:p>
        </w:tc>
      </w:tr>
      <w:tr>
        <w:trPr>
          <w:cantSplit/>
        </w:trPr>
        <w:tc>
          <w:tcPr>
            <w:tcW w:type="dxa" w:w="20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Dom, 15/11</w:t>
            </w:r>
          </w:p>
        </w:tc>
        <w:tc>
          <w:tcPr>
            <w:tcW w:type="dxa" w:w="23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Velório Adiado</w:t>
            </w:r>
          </w:p>
        </w:tc>
        <w:tc>
          <w:tcPr>
            <w:tcW w:type="dxa" w:w="56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9"/>
                <w:szCs w:val="19"/>
              </w:rPr>
              <w:t xml:space="preserve">Lançamento do site velorioadiado.com.br e Edição nº 2</w:t>
            </w:r>
          </w:p>
        </w:tc>
      </w:tr>
    </w:tbl>
    <w:p>
      <w:pPr>
        <w:spacing w:after="140" w:line="300"/>
      </w:pPr>
      <w:r>
        <w:rPr>
          <w:rFonts w:ascii="Arial" w:cs="Arial" w:eastAsia="Arial" w:hAnsi="Arial"/>
          <w:color w:val="6B6459"/>
          <w:sz w:val="18"/>
          <w:szCs w:val="18"/>
        </w:rPr>
        <w:t xml:space="preserve">Datas confirmadas no calendário do IBGE e do Banco Central em 7/11/2026.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A ÓTIMA NOTÍCIA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 Brasil decidiu explorar o tesouro que tem embaixo do pé</w:t>
      </w:r>
    </w:p>
    <w:p>
      <w:pPr>
        <w:keepNext/>
        <w:spacing w:after="140" w:line="30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O fato.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Em 5 de novembro, o governo aprovou a primeira lista brasileira de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27 minerais críticos e estratégicos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, em três classes de prioridade. No topo estão terras raras, lítio, cobre, níquel, grafita e urânio.</w:t>
      </w:r>
    </w:p>
    <w:p>
      <w:pPr>
        <w:keepNext/>
        <w:keepLines/>
        <w:spacing w:after="40" w:before="60"/>
        <w:jc w:val="center"/>
      </w:pPr>
      <w:r>
        <w:drawing>
          <wp:inline distT="0" distB="0" distL="0" distR="0">
            <wp:extent cx="6096000" cy="3209925"/>
            <wp:effectExtent t="0" r="0" b="0" l="0"/>
            <wp:docPr id="1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Arial" w:cs="Arial" w:eastAsia="Arial" w:hAnsi="Arial"/>
          <w:i/>
          <w:iCs/>
          <w:color w:val="6B6459"/>
          <w:sz w:val="17"/>
          <w:szCs w:val="17"/>
        </w:rPr>
        <w:t xml:space="preserve">Lista de minerais críticos e estratégicos por classe de prioridade · MDIC</w:t>
      </w:r>
    </w:p>
    <w:p>
      <w:pPr>
        <w:spacing w:after="140" w:line="30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De onde veio.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A Política Nacional de Minerais Críticos foi sancionada em setembro. A lista saiu da primeira reunião do conselho que cuida do tema. O assunto estava nas plataformas dos dois candidatos que disputaram o segundo turno, o que dá à política ares de consenso.</w:t>
      </w:r>
    </w:p>
    <w:p>
      <w:pPr>
        <w:spacing w:after="140" w:line="30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Por que importa.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O Brasil tem a </w:t>
      </w: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segunda maior reserva de terras raras do mundo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: 21 milhões de toneladas, atrás só da China (44 milhões), segundo o Serviço Geológico dos EUA. Tem também as maiores reservas de nióbio. Terras raras viraram gargalo global: um estudo do BIS, o banco dos bancos centrais, usa justamente esse caso para mostrar como poucos fornecedores travam cadeias inteiras. Quem tiver reserva e souber processar vira fornecedor disputado. A política prevê um fundo garantidor de até R$ 2 bilhões e um programa de beneficiamento com até R$ 1 bilhão por ano entre 2030 e 2034.</w:t>
      </w:r>
    </w:p>
    <w:p>
      <w:pPr>
        <w:spacing w:after="140" w:line="300"/>
      </w:pPr>
      <w:r>
        <w:rPr>
          <w:rFonts w:ascii="Arial" w:cs="Arial" w:eastAsia="Arial" w:hAnsi="Arial"/>
          <w:b/>
          <w:bCs/>
          <w:color w:val="2B2B2B"/>
          <w:sz w:val="25"/>
          <w:szCs w:val="25"/>
        </w:rPr>
        <w:t xml:space="preserve">O outro lado. </w:t>
      </w:r>
      <w:r>
        <w:rPr>
          <w:rFonts w:ascii="Arial" w:cs="Arial" w:eastAsia="Arial" w:hAnsi="Arial"/>
          <w:color w:val="2B2B2B"/>
          <w:sz w:val="25"/>
          <w:szCs w:val="25"/>
        </w:rPr>
        <w:t xml:space="preserve">Ter reserva não é ter indústria: o país produziu 2 mil toneladas em 2025, cerca de 0,5% da produção mundial, contra 270 mil da China. A eficácia vai depender da regulamentação, e o conselho ainda vai definir quais cadeias produtivas terão prioridade.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2600"/>
        <w:gridCol w:w="3706"/>
      </w:tblGrid>
      <w:tr>
        <w:trPr>
          <w:tblHeader/>
        </w:trPr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Número</w:t>
            </w:r>
          </w:p>
        </w:tc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Fonte</w:t>
            </w:r>
          </w:p>
        </w:tc>
        <w:tc>
          <w:tcPr>
            <w:tcW w:type="dxa" w:w="37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Conferido no órgão oficial?</w:t>
            </w:r>
          </w:p>
        </w:tc>
      </w:tr>
      <w:tr>
        <w:trPr>
          <w:cantSplit/>
        </w:trPr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27 minerais, 3 classes, lista de cada classe</w:t>
            </w:r>
          </w:p>
        </w:tc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Bloomberg Línea e MDIC</w:t>
            </w:r>
          </w:p>
        </w:tc>
        <w:tc>
          <w:tcPr>
            <w:tcW w:type="dxa" w:w="37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Sim (MDIC, 5/11)</w:t>
            </w:r>
          </w:p>
        </w:tc>
      </w:tr>
      <w:tr>
        <w:trPr>
          <w:cantSplit/>
        </w:trPr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Fundo de até R$ 2 bi; R$ 1 bi/ano de 2030 a 2034</w:t>
            </w:r>
          </w:p>
        </w:tc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MDIC</w:t>
            </w:r>
          </w:p>
        </w:tc>
        <w:tc>
          <w:tcPr>
            <w:tcW w:type="dxa" w:w="37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Sim</w:t>
            </w:r>
          </w:p>
        </w:tc>
      </w:tr>
      <w:tr>
        <w:trPr>
          <w:cantSplit/>
        </w:trPr>
        <w:tc>
          <w:tcPr>
            <w:tcW w:type="dxa" w:w="3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2ª maior reserva de terras raras; produção de 2 mil t (cerca de 0,5% do mundo)</w:t>
            </w:r>
          </w:p>
        </w:tc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Bloomberg Línea</w:t>
            </w:r>
          </w:p>
        </w:tc>
        <w:tc>
          <w:tcPr>
            <w:tcW w:type="dxa" w:w="37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Sim (Serviço Geológico dos EUA, 2026)</w:t>
            </w:r>
          </w:p>
        </w:tc>
      </w:tr>
    </w:tbl>
    <w:p>
      <w:pPr>
        <w:spacing w:after="6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/>
      </w:r>
    </w:p>
    <w:p>
      <w:pPr>
        <w:pBdr>
          <w:left w:val="single" w:color="C49A3A" w:sz="18" w:space="10"/>
        </w:pBdr>
        <w:spacing w:after="160" w:before="60" w:line="300"/>
        <w:ind w:left="280"/>
      </w:pPr>
      <w:r>
        <w:rPr>
          <w:rFonts w:ascii="Georgia" w:cs="Georgia" w:eastAsia="Georgia" w:hAnsi="Georgia"/>
          <w:i/>
          <w:iCs/>
          <w:color w:val="2B2B2B"/>
          <w:sz w:val="26"/>
          <w:szCs w:val="26"/>
        </w:rPr>
        <w:t xml:space="preserve">O Brasil passou séculos sentado em cima do tesouro, reclamando do preço da cadeira.</w:t>
      </w:r>
    </w:p>
    <w:p>
      <w:pPr>
        <w:spacing w:after="200" w:line="300"/>
      </w:pPr>
      <w:r>
        <w:rPr>
          <w:rFonts w:ascii="Arial" w:cs="Arial" w:eastAsia="Arial" w:hAnsi="Arial"/>
          <w:b/>
          <w:bCs/>
          <w:color w:val="6B6459"/>
          <w:sz w:val="18"/>
          <w:szCs w:val="18"/>
        </w:rPr>
        <w:t xml:space="preserve">Fonte: </w:t>
      </w:r>
      <w:hyperlink w:history="1" r:id="rIdtuqskawzth_3sgs8oqysg">
        <w:r>
          <w:rPr>
            <w:rFonts w:ascii="Arial" w:cs="Arial" w:eastAsia="Arial" w:hAnsi="Arial"/>
            <w:color w:val="2F5D62"/>
            <w:sz w:val="19"/>
            <w:szCs w:val="19"/>
            <w:u w:val="single"/>
          </w:rPr>
          <w:t xml:space="preserve">Bloomberg Línea, 6 nov. 2026</w:t>
        </w:r>
      </w:hyperlink>
      <w:r>
        <w:rPr>
          <w:rFonts w:ascii="Arial" w:cs="Arial" w:eastAsia="Arial" w:hAnsi="Arial"/>
          <w:color w:val="6B6459"/>
          <w:sz w:val="18"/>
          <w:szCs w:val="18"/>
        </w:rPr>
        <w:t xml:space="preserve">, conferida com o MDIC e o Serviço Geológico dos EUA.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CHECAGEM DAS FONTES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54 sites consultados</w:t>
      </w:r>
    </w:p>
    <w:p>
      <w:pPr>
        <w:spacing w:after="140" w:line="30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Foram consultados 54 sites em 7/11/2026, listados abaixo. </w:t>
      </w:r>
      <w:r>
        <w:rPr>
          <w:rFonts w:ascii="Arial" w:cs="Arial" w:eastAsia="Arial" w:hAnsi="Arial"/>
          <w:b/>
          <w:bCs/>
          <w:color w:val="2B2B2B"/>
          <w:sz w:val="20"/>
          <w:szCs w:val="20"/>
        </w:rPr>
        <w:t xml:space="preserve">18 foram usados nesta edição: </w:t>
      </w:r>
      <w:r>
        <w:rPr>
          <w:rFonts w:ascii="Arial" w:cs="Arial" w:eastAsia="Arial" w:hAnsi="Arial"/>
          <w:color w:val="2B2B2B"/>
          <w:sz w:val="20"/>
          <w:szCs w:val="20"/>
        </w:rPr>
        <w:t xml:space="preserve">gov.br/trabalho-e-emprego, bcb.gov.br/estatisticas, bcb.gov.br/publicacoes/focus, api.bcb.gov.br (SGS), dadosabertos.bcb.gov.br, gov.br/fazenda, gov.br/mdic, gov.br/conab, gov.br/agricultura, worldbank.org, wto.org, fao.org, bis.org, federalreserve.gov, stats.gov.cn, pubs.usgs.gov, portalibre.fgv.br, bloomberglinea.com.br.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7306"/>
      </w:tblGrid>
      <w:tr>
        <w:trPr>
          <w:tblHeader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Grupo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2F5D62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Sites consultados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atividade e emprego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ibge.gov.br · sidra.ibge.gov.br · servicodados.ibge.gov.br · gov.br/trabalho-e-emprego · ipeadata.gov.br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juros e câmbio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bcb.gov.br/estatisticas · bcb.gov.br/publicacoes/focus · bcb.gov.br/controleinflacao/copom · api.bcb.gov.br (SGS) · dadosabertos.bcb.gov.br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contas públicas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tesourotransparente.gov.br · gov.br/receitafederal · gov.br/fazenda · gov.br/planejamento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comércio e capital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comexstat.mdic.gov.br · gov.br/mdic · apexbrasil.com.br · gov.br/ppi · gov.br/cade · gov.br/mre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economia digital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dados.gov.br · gov.br/empresas-e-negocios · cetic.br · gov.br/anatel · gov.br/mcti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mercado de capitais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gov.br/cvm · dados.cvm.gov.br · tesourodireto.com.br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Brasil · agro e energia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gov.br/conab · gov.br/agricultura · gov.br/anp · epe.gov.br · ons.org.br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Internacional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imf.org · worldbank.org · oecd.org · unctad.org · cepal.org · wto.org · fao.org · iea.org · comtradeplus.un.org · bis.org · federalreserve.gov · fred.stlouisfed.org · ecb.europa.eu · ec.europa.eu/eurostat · stats.gov.cn · usda.gov · pubs.usgs.gov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Privadas (com rótulo)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b3.com.br · portalibre.fgv.br · portaldaindustria.com.br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Jornalística (boa notícia)</w:t>
            </w:r>
          </w:p>
        </w:tc>
        <w:tc>
          <w:tcPr>
            <w:tcW w:type="dxa" w:w="7306"/>
            <w:tcBorders>
              <w:top w:val="single" w:color="DCD2BE" w:sz="6"/>
              <w:left w:val="single" w:color="DCD2BE" w:sz="6"/>
              <w:bottom w:val="single" w:color="DCD2BE" w:sz="6"/>
              <w:right w:val="single" w:color="DCD2BE" w:sz="6"/>
            </w:tcBorders>
            <w:shd w:fill="FFFFFF" w:color="auto" w:val="clear"/>
            <w:tcMar>
              <w:top w:type="dxa" w:w="120"/>
              <w:left w:type="dxa" w:w="140"/>
              <w:bottom w:type="dxa" w:w="120"/>
              <w:right w:type="dxa" w:w="140"/>
            </w:tcMar>
            <w:vAlign w:val="top"/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2B2B2B"/>
                <w:sz w:val="18"/>
                <w:szCs w:val="18"/>
              </w:rPr>
              <w:t xml:space="preserve">bloomberglinea.com.br</w:t>
            </w:r>
          </w:p>
        </w:tc>
      </w:tr>
    </w:tbl>
    <w:p>
      <w:pPr>
        <w:spacing w:after="60" w:line="300"/>
      </w:pPr>
      <w:r>
        <w:rPr>
          <w:rFonts w:ascii="Arial" w:cs="Arial" w:eastAsia="Arial" w:hAnsi="Arial"/>
          <w:color w:val="2B2B2B"/>
          <w:sz w:val="25"/>
          <w:szCs w:val="25"/>
        </w:rPr>
        <w:t xml:space="preserve"/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PRONTUÁRIO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Observações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O saldo comercial segue o MDIC (critério de comércio exterior, jan.–out.). O Banco Central usa outro critério, do balanço de pagamentos; os números não se comparam diretamente.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Nomes das séries conferidos no portal de dados abertos do Banco Central. As séries 433, 13522 e 24369 são do IBGE, replicadas no SGS.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Fluxo cambial recorde: número da Bloomberg Línea; a nota do Banco Central traz as parciais em planilha, não lida nesta edição.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“O óbvio que ninguém leu”: a checagem de cobertura na imprensa não foi feita.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Resultado primário: sinal negativo indica déficit.</w:t>
      </w:r>
    </w:p>
    <w:p>
      <w:pPr>
        <w:pStyle w:val="ListParagraph"/>
        <w:numPr>
          <w:ilvl w:val="0"/>
          <w:numId w:val="2"/>
        </w:numPr>
        <w:spacing w:after="90" w:line="290"/>
      </w:pPr>
      <w:r>
        <w:rPr>
          <w:rFonts w:ascii="Arial" w:cs="Arial" w:eastAsia="Arial" w:hAnsi="Arial"/>
          <w:color w:val="2B2B2B"/>
          <w:sz w:val="20"/>
          <w:szCs w:val="20"/>
        </w:rPr>
        <w:t xml:space="preserve">Este informativo apresenta dados oficiais e não faz recomendação de investimento.</w:t>
      </w:r>
    </w:p>
    <w:p>
      <w:pPr>
        <w:keepNext/>
        <w:spacing w:after="0" w:before="280"/>
      </w:pPr>
      <w:r>
        <w:rPr>
          <w:rFonts w:ascii="Arial" w:cs="Arial" w:eastAsia="Arial" w:hAnsi="Arial"/>
          <w:b/>
          <w:bCs/>
          <w:color w:val="7A1F2B"/>
          <w:sz w:val="18"/>
          <w:szCs w:val="18"/>
        </w:rPr>
        <w:t xml:space="preserve">REFERÊNCIAS</w:t>
      </w:r>
    </w:p>
    <w:p>
      <w:pPr>
        <w:pStyle w:val="Heading1"/>
        <w:keepNext/>
        <w:pBdr>
          <w:bottom w:val="single" w:color="7A1F2B" w:sz="8" w:space="4"/>
        </w:pBdr>
      </w:pPr>
      <w:r>
        <w:rPr>
          <w:rFonts w:ascii="Georgia" w:cs="Georgia" w:eastAsia="Georgia" w:hAnsi="Georgia"/>
          <w:color w:val="2B2B2B"/>
          <w:sz w:val="36"/>
          <w:szCs w:val="36"/>
        </w:rPr>
        <w:t xml:space="preserve">Fontes citadas (ABNT NBR 6023)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Estatísticas do setor externo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nota para a imprensa, 26 out. 2026.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3x6bt_xv_l4grqawzc8ss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https://www.bcb.gov.br/estatisticas/estatisticassetorexterno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Focus: relatório de mercado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, 30 out. 2026. Brasília, DF: BCB, 3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frzbhn_vxbzwhfy0vshtg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https://www.bcb.gov.br/content/focus/focus/R20261030.pdf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1 – Taxa de câmbio – Livre – Dólar americano (venda) – diário.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g4euwsafj8_09xqanzv-x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https://api.bcb.gov.br/dados/serie/bcdata.sgs.1/dados/ultimos/5?formato=json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432 – Taxa de juros – Meta Selic definida pelo Copom.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wczdfvsqrehqfg9cpuuvi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https://api.bcb.gov.br/dados/serie/bcdata.sgs.432/dados/ultimos/3?formato=json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433 – Índice Nacional de Preços ao Consumidor Amplo (IPCA) – variação mensal.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ehz-82jnmalrp9la5x_4l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https://api.bcb.gov.br/dados/serie/bcdata.sgs.433/dados/ultimos/13?formato=json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433 – Índice Nacional de Preços ao Consumidor Amplo (IPCA) – variação mensal, 1993–1994.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w26uhf_yxhqsgpkjm4kek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https://api.bcb.gov.br/dados/serie/bcdata.sgs.433/dados?formato=json&amp;dataInicial=01/01/1993&amp;dataFinal=31/12/1994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4189 – Taxa de juros – Selic acumulada no mês anualizada base 252.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csyxt4rw0cgrqcrwoozwq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https://api.bcb.gov.br/dados/serie/bcdata.sgs.4189/dados/ultimos/14?formato=json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5793 – NFSP sem desvalorização cambial (% PIB) – Fluxo acumulado em 12 meses – Resultado primário – Total – Setor público consolidado.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aw6g2farf_exb-oeoochg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https://api.bcb.gov.br/dados/serie/bcdata.sgs.5793/dados/ultimos/13?formato=json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13522 – Índice Nacional de Preços ao Consumidor Amplo (IPCA) – acumulado em 12 meses.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brb_ulzhon_cpvsbl9qmh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https://api.bcb.gov.br/dados/serie/bcdata.sgs.13522/dados/ultimos/13?formato=json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13621 – Reservas internacionais – Conceito caixa – Total – diária.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psukispzivh55h7fub5ma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https://api.bcb.gov.br/dados/serie/bcdata.sgs.13621/dados/ultimos/3?formato=json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13762 – Dívida bruta do governo geral (% PIB) – Metodologia utilizada a partir de 2008.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tn0n6z0rjbqukkcutrywl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https://api.bcb.gov.br/dados/serie/bcdata.sgs.13762/dados/ultimos/13?formato=json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22885 – Investimentos diretos no país – IDP – mensal – líquido.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kkdrmwn5vhvvjljl1207j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https://api.bcb.gov.br/dados/serie/bcdata.sgs.22885/dados/ultimos/12?formato=json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22885 – Investimentos diretos no país – IDP – mensal – líquido, jan.–set. 2025.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ofxoenry-iyti8mpp5dxm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https://api.bcb.gov.br/dados/serie/bcdata.sgs.22885/dados?formato=json&amp;dataInicial=01/01/2025&amp;dataFinal=30/09/2025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24363 – Índice de Atividade Econômica do Banco Central – IBC-Br.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hqvgee15fom5ewz-llf1u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https://api.bcb.gov.br/dados/serie/bcdata.sgs.24363/dados/ultimos/13?formato=json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24364 – Índice de Atividade Econômica do Banco Central (IBC-Br) – com ajuste sazonal.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cevw9uteowdvjgoik9ix8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https://api.bcb.gov.br/dados/serie/bcdata.sgs.24364/dados/ultimos/13?formato=json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BANCO CENTRAL DO BRASIL.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Sistema Gerenciador de Séries Temporais (SGS)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série 24369 – Taxa de desocupação – PNAD Contínua (IBGE). Brasília, DF: BCB,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n_2ji1j20ru6yixd9kekq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https://api.bcb.gov.br/dados/serie/bcdata.sgs.24369/dados?formato=json&amp;dataInicial=01/01/2012&amp;dataFinal=31/12/2026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BANK FOR INTERNATIONAL SETTLEMENTS. Chokepoints in global supply chains: lessons from rare earths and hard disk drives.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BIS Bulletin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, Basileia, n. 139, 26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xpxxd_b_ffuck7wuy6a8k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https://www.bis.org/publications/bulletin-139-chokepoints-global-supply-chains-lessons-rare-earths-and-hard-disk-drives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BOARD OF GOVERNORS OF THE FEDERAL RESERVE SYSTEM.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Federal Reserve issues FOMC statement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Washington, DC: Federal Reserve, 28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qiw47gwvjqoz9yfgcft-h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https://www.federalreserve.gov/newsevents/pressreleases/monetary20261028a.htm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da Agricultura e Pecuária.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Acordo Mercosul-União Europeia completa seis meses com alta de 14,8% nas exportações do agronegócio brasileiro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MAPA, 1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3t2hb8ma5h8ami7q7uex7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https://www.gov.br/agricultura/pt-br/assuntos/noticias/2026/acordo-mercosul-uniao-europeia-completa-seis-meses-com-alta-de-14-8-nas-exportacoes-do-agronegocio-brasileiro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da Agricultura e Pecuária.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Doença de Newcastle: Uruguai retoma importações de produtos avícolas do Brasil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MAPA, 7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bkuosklh_jvqd31gch5ta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https://www.gov.br/agricultura/pt-br/assuntos/noticias/2026/doenca-de-newcastle-uruguai-retoma-importacoes-de-produtos-avicolas-do-brasil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da Fazenda.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Governo Central registra superávit de R$ 4,839 bilhões em setembro, mostra o Tesouro Nacional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Ministério da Fazenda, 29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5gnjfg8g7vtdk7gtiamsd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https://www.gov.br/fazenda/pt-br/assuntos/noticias/2026/outubro/governo-central-registra-superavit-de-r-4-839-bilhoes-em-setembro-mostra-o-tesouro-nacional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do Desenvolvimento, Indústria, Comércio e Serviços.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Acordo Mercosul-EFTA abre novas oportunidades para exportações brasileiras à Noruega em 1º de novembro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MDIC, 31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lvcgydcfveabnzugwfa-j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https://www.gov.br/mdic/pt-br/assuntos/noticias/2026/outubro/acordo-mercosul-efta-abre-novas-oportunidades-para-exportacoes-brasileiras-a-noruega-em-1o-de-novembro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do Desenvolvimento, Indústria, Comércio e Serviços.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Corrente de comércio brasileira chega a US$ 66,3 bi, um recorde para o mês de outubro na série histórica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MDIC, 6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fskpvdj8rrndyjatx42cy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https://www.gov.br/mdic/pt-br/assuntos/noticias/2026/novembro/corrente-de-comercio-brasileira-chega-a-us-66-3-bi-um-recorde-para-o-mes-de-outubro-na-serie-historica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do Desenvolvimento, Indústria, Comércio e Serviços.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Governo Federal aprova lista brasileira de minerais críticos e estratégicos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MDIC, 5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5fx7cp3coau9nnf7jlj8h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https://www.gov.br/mdic/pt-br/assuntos/noticias/2026/novembro/governo-federal-aprova-lista-brasileira-de-minerais-criticos-e-estrategicos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BRASIL. Ministério do Trabalho e Emprego.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País gerou 1.248 mil empregos formais até setembro de 2026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Brasília, DF: MTE, 4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zn4ftnvyiwx9ybxblrjwo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https://www.gov.br/trabalho-e-emprego/pt-br/noticias-e-conteudo/2026/novembro/pais-gerou-1-248-mil-empregos-formais-ate-setembro-de-2026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COMPANHIA NACIONAL DE ABASTECIMENTO.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Acompanhamento da safra brasileira de grãos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safra 2026/27, 1º levantamento. Brasília, DF: Conab,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pusijbesnx29poholzrkb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https://www.gov.br/conab/pt-br/atuacao/informacoes-agropecuarias/safras/safra-de-graos/boletim-da-safra-de-graos/1o-levantamento-safra-2026-27/boletim-de-safras-1o-levantamento_2026.pdf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DURAO, Mariana. Governo põe terras raras e cobre no topo da lista de minerais estratégicos para o país.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Bloomberg Línea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, [s. l.], 6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ymybvfvnysl8uwpagrazq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https://www.bloomberglinea.com.br/brasil/governo-poe-terras-raras-e-cobre-no-topo-da-lista-de-minerais-estrategicos-para-o-pais/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FOOD AND AGRICULTURE ORGANIZATION OF THE UNITED NATIONS.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FAO Food Price Index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Roma: FAO, 6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yalcnod88qbhxdk9biqta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https://www.fao.org/worldfoodsituation/foodpricesindex/en/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FUNDAÇÃO GETULIO VARGAS. Instituto Brasileiro de Economia.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Portal IBRE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últimas divulgações. Rio de Janeiro: FGV IBRE,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f51i8dly8rmcnrnmndget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https://portalibre.fgv.br/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INSTITUTO BRASILEIRO DE GEOGRAFIA E ESTATÍSTICA.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Portal do IBGE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indicadores e próximas divulgações. Rio de Janeiro: IBGE,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tjrakb5cb7sfjbpr6ivbd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https://www.ibge.gov.br/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NATIONAL BUREAU OF STATISTICS OF CHINA.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National economy was generally stable with new achievement made in high-quality development in the first three quarters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Pequim: NBS, 19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h77p3mssxpukun_kjgljp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https://www.stats.gov.cn/english/PressRelease/202610/t20261019_1965619.html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SERAFIM, Giovanna. Entrada de dólares no Brasil bate recorde na semana após o segundo turno.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Bloomberg Línea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, [s. l.], 4 nov.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knvyoody5lsaqinjsk21o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https://www.bloomberglinea.com.br/mercados/entrada-de-dolares-no-brasil-bate-recorde-na-semana-apos-o-segundo-turno/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U.S. GEOLOGICAL SURVEY.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Mineral commodity summaries 2026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: rare earths. Reston, VA: USGS,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wklux5upk06o4iglvahag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https://pubs.usgs.gov/periodicals/mcs2026/mcs2026-rare-earths.pdf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WORLD BANK.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Commodity Markets Outlook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Washington, DC: World Bank,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ji3xyha_qepohzlucpjem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https://www.worldbank.org/en/research/commodity-markets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spacing w:after="160" w:line="260"/>
      </w:pPr>
      <w:r>
        <w:rPr>
          <w:rFonts w:ascii="Arial" w:cs="Arial" w:eastAsia="Arial" w:hAnsi="Arial"/>
          <w:color w:val="2B2B2B"/>
          <w:sz w:val="19"/>
          <w:szCs w:val="19"/>
        </w:rPr>
        <w:t xml:space="preserve">WORLD TRADE ORGANIZATION. </w:t>
      </w:r>
      <w:r>
        <w:rPr>
          <w:rFonts w:ascii="Arial" w:cs="Arial" w:eastAsia="Arial" w:hAnsi="Arial"/>
          <w:b/>
          <w:bCs/>
          <w:color w:val="2B2B2B"/>
          <w:sz w:val="19"/>
          <w:szCs w:val="19"/>
        </w:rPr>
        <w:t xml:space="preserve">Global trade outlook and statistics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. Genebra: WTO, 8 out. 2026.</w:t>
      </w:r>
      <w:r>
        <w:rPr>
          <w:rFonts w:ascii="Arial" w:cs="Arial" w:eastAsia="Arial" w:hAnsi="Arial"/>
          <w:color w:val="2B2B2B"/>
          <w:sz w:val="19"/>
          <w:szCs w:val="19"/>
        </w:rPr>
        <w:t xml:space="preserve"> Disponível em: </w:t>
      </w:r>
      <w:hyperlink w:history="1" r:id="rId6_zjpggualjf1abu1ddc-">
        <w:r>
          <w:rPr>
            <w:rFonts w:ascii="Arial" w:cs="Arial" w:eastAsia="Arial" w:hAnsi="Arial"/>
            <w:color w:val="2F5D62"/>
            <w:sz w:val="17"/>
            <w:szCs w:val="17"/>
            <w:u w:val="single"/>
          </w:rPr>
          <w:t xml:space="preserve">https://www.wto.org/english/news_e/news26_e/stat_08oct26_510_e.htm</w:t>
        </w:r>
      </w:hyperlink>
      <w:r>
        <w:rPr>
          <w:rFonts w:ascii="Arial" w:cs="Arial" w:eastAsia="Arial" w:hAnsi="Arial"/>
          <w:color w:val="2B2B2B"/>
          <w:sz w:val="19"/>
          <w:szCs w:val="19"/>
        </w:rPr>
        <w:t xml:space="preserve">. Acesso em: 7 nov. 2026.</w:t>
      </w:r>
    </w:p>
    <w:p>
      <w:pPr>
        <w:keepNext/>
        <w:spacing w:after="40" w:before="160"/>
        <w:jc w:val="center"/>
      </w:pPr>
      <w:r>
        <w:rPr>
          <w:rFonts w:ascii="Arial" w:cs="Arial" w:eastAsia="Arial" w:hAnsi="Arial"/>
          <w:color w:val="6B6459"/>
          <w:sz w:val="20"/>
          <w:szCs w:val="20"/>
        </w:rPr>
        <w:t xml:space="preserve">Resposta do Adivinhe: em todos. O saldo foi positivo em todos os estados.</w:t>
      </w:r>
    </w:p>
    <w:p>
      <w:pPr>
        <w:keepNext/>
        <w:pBdr>
          <w:top w:val="single" w:color="2B2B2B" w:sz="6" w:space="10"/>
        </w:pBdr>
        <w:spacing w:after="0" w:before="120"/>
        <w:jc w:val="center"/>
      </w:pPr>
      <w:r>
        <w:rPr>
          <w:rFonts w:ascii="Georgia" w:cs="Georgia" w:eastAsia="Georgia" w:hAnsi="Georgia"/>
          <w:b/>
          <w:bCs/>
          <w:color w:val="7A1F2B"/>
          <w:sz w:val="34"/>
          <w:szCs w:val="34"/>
        </w:rPr>
        <w:t xml:space="preserve">Velório adiado. Nova data: a confirmar.</w:t>
      </w:r>
    </w:p>
    <w:p>
      <w:pPr>
        <w:spacing w:after="0" w:before="120"/>
        <w:jc w:val="right"/>
      </w:pPr>
      <w:r>
        <w:rPr>
          <w:rFonts w:ascii="Arial" w:cs="Arial" w:eastAsia="Arial" w:hAnsi="Arial"/>
          <w:color w:val="6B6459"/>
          <w:sz w:val="16"/>
          <w:szCs w:val="16"/>
        </w:rPr>
        <w:t xml:space="preserve">Responsável pelo informe: </w:t>
      </w:r>
      <w:r>
        <w:rPr>
          <w:rFonts w:ascii="Arial" w:cs="Arial" w:eastAsia="Arial" w:hAnsi="Arial"/>
          <w:b/>
          <w:bCs/>
          <w:color w:val="6B6459"/>
          <w:sz w:val="16"/>
          <w:szCs w:val="16"/>
        </w:rPr>
        <w:t xml:space="preserve">João Darzone M. R. Junior</w:t>
      </w:r>
      <w:r>
        <w:rPr>
          <w:rFonts w:ascii="Arial" w:cs="Arial" w:eastAsia="Arial" w:hAnsi="Arial"/>
          <w:i/>
          <w:iCs/>
          <w:color w:val="6B6459"/>
          <w:sz w:val="16"/>
          <w:szCs w:val="16"/>
        </w:rPr>
        <w:t xml:space="preserve"> · advogado, escritor e otimista</w:t>
      </w:r>
    </w:p>
    <w:p>
      <w:pPr>
        <w:spacing w:after="0" w:before="40"/>
        <w:jc w:val="right"/>
      </w:pPr>
      <w:r>
        <w:rPr>
          <w:rFonts w:ascii="Arial" w:cs="Arial" w:eastAsia="Arial" w:hAnsi="Arial"/>
          <w:i/>
          <w:iCs/>
          <w:color w:val="6B6459"/>
          <w:sz w:val="15"/>
          <w:szCs w:val="15"/>
        </w:rPr>
        <w:t xml:space="preserve">Obs.: já me chamaram de petista e de bolsonarista na mesma semana. Fiquei comovido: é a única unanimidade que o Brasil conseguiu.</w:t>
      </w:r>
    </w:p>
    <w:sectPr>
      <w:footerReference w:type="default" r:id="rId6"/>
      <w:pgSz w:w="11906" w:h="16838" w:orient="portrait"/>
      <w:pgMar w:top="900" w:right="1000" w:bottom="900" w:left="10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B6459"/>
        <w:sz w:val="16"/>
        <w:szCs w:val="16"/>
      </w:rPr>
      <w:t xml:space="preserve">Velório Adiado · velorioadiado.com.br · nº 1 · 8/11/2026 · página </w:t>
    </w:r>
    <w:r>
      <w:rPr>
        <w:rFonts w:ascii="Arial" w:cs="Arial" w:eastAsia="Arial" w:hAnsi="Arial"/>
        <w:color w:val="6B6459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■"/>
      <w:lvlJc w:val="left"/>
      <w:pPr>
        <w:ind w:left="400" w:hanging="280"/>
      </w:pPr>
      <w:rPr>
        <w:color w:val="7A1F2B"/>
        <w:sz w:val="16"/>
        <w:szCs w:val="16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B2B2B"/>
        <w:sz w:val="25"/>
        <w:szCs w:val="25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spacing w:after="160" w:before="0"/>
      <w:outlineLvl w:val="0"/>
    </w:pPr>
    <w:rPr>
      <w:rFonts w:ascii="Georgia" w:cs="Georgia" w:eastAsia="Georgia" w:hAnsi="Georgia"/>
      <w:color w:val="2B2B2B"/>
      <w:sz w:val="36"/>
      <w:szCs w:val="36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dgq8lxsi8zkxlqnoflz2p" Type="http://schemas.openxmlformats.org/officeDocument/2006/relationships/hyperlink" Target="https://www.gov.br/trabalho-e-emprego/pt-br/noticias-e-conteudo/2026/novembro/pais-gerou-1-248-mil-empregos-formais-ate-setembro-de-2026" TargetMode="External"/><Relationship Id="rIdfe_e4nixorel9ngrxr6hi" Type="http://schemas.openxmlformats.org/officeDocument/2006/relationships/hyperlink" Target="https://www.bloomberglinea.com.br/mercados/entrada-de-dolares-no-brasil-bate-recorde-na-semana-apos-o-segundo-turno/" TargetMode="External"/><Relationship Id="rIdtuqskawzth_3sgs8oqysg" Type="http://schemas.openxmlformats.org/officeDocument/2006/relationships/hyperlink" Target="https://www.bloomberglinea.com.br/brasil/governo-poe-terras-raras-e-cobre-no-topo-da-lista-de-minerais-estrategicos-para-o-pais/" TargetMode="External"/><Relationship Id="rId3x6bt_xv_l4grqawzc8ss" Type="http://schemas.openxmlformats.org/officeDocument/2006/relationships/hyperlink" Target="https://www.bcb.gov.br/estatisticas/estatisticassetorexterno" TargetMode="External"/><Relationship Id="rIdfrzbhn_vxbzwhfy0vshtg" Type="http://schemas.openxmlformats.org/officeDocument/2006/relationships/hyperlink" Target="https://www.bcb.gov.br/content/focus/focus/R20261030.pdf" TargetMode="External"/><Relationship Id="rIdg4euwsafj8_09xqanzv-x" Type="http://schemas.openxmlformats.org/officeDocument/2006/relationships/hyperlink" Target="https://api.bcb.gov.br/dados/serie/bcdata.sgs.1/dados/ultimos/5?formato=json" TargetMode="External"/><Relationship Id="rIdwczdfvsqrehqfg9cpuuvi" Type="http://schemas.openxmlformats.org/officeDocument/2006/relationships/hyperlink" Target="https://api.bcb.gov.br/dados/serie/bcdata.sgs.432/dados/ultimos/3?formato=json" TargetMode="External"/><Relationship Id="rIdehz-82jnmalrp9la5x_4l" Type="http://schemas.openxmlformats.org/officeDocument/2006/relationships/hyperlink" Target="https://api.bcb.gov.br/dados/serie/bcdata.sgs.433/dados/ultimos/13?formato=json" TargetMode="External"/><Relationship Id="rIdw26uhf_yxhqsgpkjm4kek" Type="http://schemas.openxmlformats.org/officeDocument/2006/relationships/hyperlink" Target="https://api.bcb.gov.br/dados/serie/bcdata.sgs.433/dados?formato=json&amp;dataInicial=01/01/1993&amp;dataFinal=31/12/1994" TargetMode="External"/><Relationship Id="rIdcsyxt4rw0cgrqcrwoozwq" Type="http://schemas.openxmlformats.org/officeDocument/2006/relationships/hyperlink" Target="https://api.bcb.gov.br/dados/serie/bcdata.sgs.4189/dados/ultimos/14?formato=json" TargetMode="External"/><Relationship Id="rIdaw6g2farf_exb-oeoochg" Type="http://schemas.openxmlformats.org/officeDocument/2006/relationships/hyperlink" Target="https://api.bcb.gov.br/dados/serie/bcdata.sgs.5793/dados/ultimos/13?formato=json" TargetMode="External"/><Relationship Id="rIdbrb_ulzhon_cpvsbl9qmh" Type="http://schemas.openxmlformats.org/officeDocument/2006/relationships/hyperlink" Target="https://api.bcb.gov.br/dados/serie/bcdata.sgs.13522/dados/ultimos/13?formato=json" TargetMode="External"/><Relationship Id="rIdpsukispzivh55h7fub5ma" Type="http://schemas.openxmlformats.org/officeDocument/2006/relationships/hyperlink" Target="https://api.bcb.gov.br/dados/serie/bcdata.sgs.13621/dados/ultimos/3?formato=json" TargetMode="External"/><Relationship Id="rIdtn0n6z0rjbqukkcutrywl" Type="http://schemas.openxmlformats.org/officeDocument/2006/relationships/hyperlink" Target="https://api.bcb.gov.br/dados/serie/bcdata.sgs.13762/dados/ultimos/13?formato=json" TargetMode="External"/><Relationship Id="rIdkkdrmwn5vhvvjljl1207j" Type="http://schemas.openxmlformats.org/officeDocument/2006/relationships/hyperlink" Target="https://api.bcb.gov.br/dados/serie/bcdata.sgs.22885/dados/ultimos/12?formato=json" TargetMode="External"/><Relationship Id="rIdofxoenry-iyti8mpp5dxm" Type="http://schemas.openxmlformats.org/officeDocument/2006/relationships/hyperlink" Target="https://api.bcb.gov.br/dados/serie/bcdata.sgs.22885/dados?formato=json&amp;dataInicial=01/01/2025&amp;dataFinal=30/09/2025" TargetMode="External"/><Relationship Id="rIdhqvgee15fom5ewz-llf1u" Type="http://schemas.openxmlformats.org/officeDocument/2006/relationships/hyperlink" Target="https://api.bcb.gov.br/dados/serie/bcdata.sgs.24363/dados/ultimos/13?formato=json" TargetMode="External"/><Relationship Id="rIdcevw9uteowdvjgoik9ix8" Type="http://schemas.openxmlformats.org/officeDocument/2006/relationships/hyperlink" Target="https://api.bcb.gov.br/dados/serie/bcdata.sgs.24364/dados/ultimos/13?formato=json" TargetMode="External"/><Relationship Id="rIdn_2ji1j20ru6yixd9kekq" Type="http://schemas.openxmlformats.org/officeDocument/2006/relationships/hyperlink" Target="https://api.bcb.gov.br/dados/serie/bcdata.sgs.24369/dados?formato=json&amp;dataInicial=01/01/2012&amp;dataFinal=31/12/2026" TargetMode="External"/><Relationship Id="rIdxpxxd_b_ffuck7wuy6a8k" Type="http://schemas.openxmlformats.org/officeDocument/2006/relationships/hyperlink" Target="https://www.bis.org/publications/bulletin-139-chokepoints-global-supply-chains-lessons-rare-earths-and-hard-disk-drives" TargetMode="External"/><Relationship Id="rIdqiw47gwvjqoz9yfgcft-h" Type="http://schemas.openxmlformats.org/officeDocument/2006/relationships/hyperlink" Target="https://www.federalreserve.gov/newsevents/pressreleases/monetary20261028a.htm" TargetMode="External"/><Relationship Id="rId3t2hb8ma5h8ami7q7uex7" Type="http://schemas.openxmlformats.org/officeDocument/2006/relationships/hyperlink" Target="https://www.gov.br/agricultura/pt-br/assuntos/noticias/2026/acordo-mercosul-uniao-europeia-completa-seis-meses-com-alta-de-14-8-nas-exportacoes-do-agronegocio-brasileiro" TargetMode="External"/><Relationship Id="rIdbkuosklh_jvqd31gch5ta" Type="http://schemas.openxmlformats.org/officeDocument/2006/relationships/hyperlink" Target="https://www.gov.br/agricultura/pt-br/assuntos/noticias/2026/doenca-de-newcastle-uruguai-retoma-importacoes-de-produtos-avicolas-do-brasil" TargetMode="External"/><Relationship Id="rId5gnjfg8g7vtdk7gtiamsd" Type="http://schemas.openxmlformats.org/officeDocument/2006/relationships/hyperlink" Target="https://www.gov.br/fazenda/pt-br/assuntos/noticias/2026/outubro/governo-central-registra-superavit-de-r-4-839-bilhoes-em-setembro-mostra-o-tesouro-nacional" TargetMode="External"/><Relationship Id="rIdlvcgydcfveabnzugwfa-j" Type="http://schemas.openxmlformats.org/officeDocument/2006/relationships/hyperlink" Target="https://www.gov.br/mdic/pt-br/assuntos/noticias/2026/outubro/acordo-mercosul-efta-abre-novas-oportunidades-para-exportacoes-brasileiras-a-noruega-em-1o-de-novembro" TargetMode="External"/><Relationship Id="rIdfskpvdj8rrndyjatx42cy" Type="http://schemas.openxmlformats.org/officeDocument/2006/relationships/hyperlink" Target="https://www.gov.br/mdic/pt-br/assuntos/noticias/2026/novembro/corrente-de-comercio-brasileira-chega-a-us-66-3-bi-um-recorde-para-o-mes-de-outubro-na-serie-historica" TargetMode="External"/><Relationship Id="rId5fx7cp3coau9nnf7jlj8h" Type="http://schemas.openxmlformats.org/officeDocument/2006/relationships/hyperlink" Target="https://www.gov.br/mdic/pt-br/assuntos/noticias/2026/novembro/governo-federal-aprova-lista-brasileira-de-minerais-criticos-e-estrategicos" TargetMode="External"/><Relationship Id="rIdzn4ftnvyiwx9ybxblrjwo" Type="http://schemas.openxmlformats.org/officeDocument/2006/relationships/hyperlink" Target="https://www.gov.br/trabalho-e-emprego/pt-br/noticias-e-conteudo/2026/novembro/pais-gerou-1-248-mil-empregos-formais-ate-setembro-de-2026" TargetMode="External"/><Relationship Id="rIdpusijbesnx29poholzrkb" Type="http://schemas.openxmlformats.org/officeDocument/2006/relationships/hyperlink" Target="https://www.gov.br/conab/pt-br/atuacao/informacoes-agropecuarias/safras/safra-de-graos/boletim-da-safra-de-graos/1o-levantamento-safra-2026-27/boletim-de-safras-1o-levantamento_2026.pdf" TargetMode="External"/><Relationship Id="rIdymybvfvnysl8uwpagrazq" Type="http://schemas.openxmlformats.org/officeDocument/2006/relationships/hyperlink" Target="https://www.bloomberglinea.com.br/brasil/governo-poe-terras-raras-e-cobre-no-topo-da-lista-de-minerais-estrategicos-para-o-pais/" TargetMode="External"/><Relationship Id="rIdyalcnod88qbhxdk9biqta" Type="http://schemas.openxmlformats.org/officeDocument/2006/relationships/hyperlink" Target="https://www.fao.org/worldfoodsituation/foodpricesindex/en/" TargetMode="External"/><Relationship Id="rIdf51i8dly8rmcnrnmndget" Type="http://schemas.openxmlformats.org/officeDocument/2006/relationships/hyperlink" Target="https://portalibre.fgv.br/" TargetMode="External"/><Relationship Id="rIdtjrakb5cb7sfjbpr6ivbd" Type="http://schemas.openxmlformats.org/officeDocument/2006/relationships/hyperlink" Target="https://www.ibge.gov.br/" TargetMode="External"/><Relationship Id="rIdh77p3mssxpukun_kjgljp" Type="http://schemas.openxmlformats.org/officeDocument/2006/relationships/hyperlink" Target="https://www.stats.gov.cn/english/PressRelease/202610/t20261019_1965619.html" TargetMode="External"/><Relationship Id="rIdknvyoody5lsaqinjsk21o" Type="http://schemas.openxmlformats.org/officeDocument/2006/relationships/hyperlink" Target="https://www.bloomberglinea.com.br/mercados/entrada-de-dolares-no-brasil-bate-recorde-na-semana-apos-o-segundo-turno/" TargetMode="External"/><Relationship Id="rIdwklux5upk06o4iglvahag" Type="http://schemas.openxmlformats.org/officeDocument/2006/relationships/hyperlink" Target="https://pubs.usgs.gov/periodicals/mcs2026/mcs2026-rare-earths.pdf" TargetMode="External"/><Relationship Id="rIdji3xyha_qepohzlucpjem" Type="http://schemas.openxmlformats.org/officeDocument/2006/relationships/hyperlink" Target="https://www.worldbank.org/en/research/commodity-markets" TargetMode="External"/><Relationship Id="rId6_zjpggualjf1abu1ddc-" Type="http://schemas.openxmlformats.org/officeDocument/2006/relationships/hyperlink" Target="https://www.wto.org/english/news_e/news26_e/stat_08oct26_510_e.htm" TargetMode="External"/><Relationship Id="rId8" Type="http://schemas.openxmlformats.org/officeDocument/2006/relationships/image" Target="media/98b11c636e7d2faa257faf4dcdb6e3248165a1bb.png"/><Relationship Id="rId9" Type="http://schemas.openxmlformats.org/officeDocument/2006/relationships/image" Target="media/f1845f03d631cf325977e224cd2f4450e16af75b.png"/><Relationship Id="rId10" Type="http://schemas.openxmlformats.org/officeDocument/2006/relationships/image" Target="media/8c420745e49e5df0452bf9c7b6219cc182148700.png"/><Relationship Id="rId11" Type="http://schemas.openxmlformats.org/officeDocument/2006/relationships/image" Target="media/b77cafef79ebf6f3160074836026af6d3806bc10.png"/><Relationship Id="rId12" Type="http://schemas.openxmlformats.org/officeDocument/2006/relationships/image" Target="media/eeeed1b4179908d8e223874070dc96df20058e52.png"/><Relationship Id="rId13" Type="http://schemas.openxmlformats.org/officeDocument/2006/relationships/image" Target="media/69d86927d2046162b0daaf9133fd4e6c9dddd276.png"/><Relationship Id="rId14" Type="http://schemas.openxmlformats.org/officeDocument/2006/relationships/image" Target="media/0143295cb8ef7a452a26c18843e9dfefe2e3062d.png"/><Relationship Id="rId15" Type="http://schemas.openxmlformats.org/officeDocument/2006/relationships/image" Target="media/5d88c84852ebf370e5297b304ab68c2828c771ab.png"/><Relationship Id="rId16" Type="http://schemas.openxmlformats.org/officeDocument/2006/relationships/image" Target="media/806b42c2056e6e6af5bdd32c3b12cb3df54036cc.png"/><Relationship Id="rId17" Type="http://schemas.openxmlformats.org/officeDocument/2006/relationships/image" Target="media/dbf7c3819cd9c9246d624de9f84e013f1a93b5b4.png"/><Relationship Id="rId18" Type="http://schemas.openxmlformats.org/officeDocument/2006/relationships/image" Target="media/d8eedff4156aec9aaf6c9253b4b1532e2d103154.png"/><Relationship Id="rId5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Velório Adiado nº 1 — 8 de novembro de 2026</dc:title>
  <dc:creator>João Darzone M. R. Junior</dc:creator>
  <cp:lastModifiedBy>Un-named</cp:lastModifiedBy>
  <cp:revision>1</cp:revision>
  <dcterms:created xsi:type="dcterms:W3CDTF">2026-11-07T23:18:36.766Z</dcterms:created>
  <dcterms:modified xsi:type="dcterms:W3CDTF">2026-11-07T23:18:36.766Z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